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7B516" w14:textId="3DE157C4" w:rsidR="00591C52" w:rsidRPr="00870BB7" w:rsidRDefault="003271E9" w:rsidP="00591C52">
      <w:pPr>
        <w:jc w:val="right"/>
        <w:rPr>
          <w:rFonts w:ascii="Montserrat" w:hAnsi="Montserrat"/>
          <w:sz w:val="23"/>
          <w:szCs w:val="23"/>
        </w:rPr>
      </w:pPr>
      <w:r>
        <w:rPr>
          <w:rFonts w:ascii="Montserrat" w:hAnsi="Montserrat"/>
          <w:sz w:val="23"/>
          <w:szCs w:val="23"/>
        </w:rPr>
        <w:t xml:space="preserve"> </w:t>
      </w:r>
    </w:p>
    <w:p w14:paraId="715AF2AB" w14:textId="77777777" w:rsidR="00280FE7" w:rsidRPr="00870BB7" w:rsidRDefault="00280FE7" w:rsidP="00280FE7">
      <w:pPr>
        <w:keepNext/>
        <w:spacing w:line="276" w:lineRule="auto"/>
        <w:ind w:left="-142"/>
        <w:contextualSpacing/>
        <w:jc w:val="right"/>
        <w:rPr>
          <w:rFonts w:eastAsia="Times New Roman" w:cs="Tahoma"/>
          <w:bCs/>
          <w:sz w:val="23"/>
          <w:szCs w:val="23"/>
          <w:lang w:eastAsia="es-ES"/>
        </w:rPr>
      </w:pPr>
      <w:bookmarkStart w:id="0" w:name="_Hlk1998695"/>
      <w:r w:rsidRPr="00870BB7">
        <w:rPr>
          <w:rFonts w:eastAsia="Times New Roman" w:cs="Tahoma"/>
          <w:bCs/>
          <w:sz w:val="23"/>
          <w:szCs w:val="23"/>
          <w:lang w:eastAsia="es-ES"/>
        </w:rPr>
        <w:t>2</w:t>
      </w:r>
      <w:r w:rsidR="004812C9">
        <w:rPr>
          <w:rFonts w:eastAsia="Times New Roman" w:cs="Tahoma"/>
          <w:bCs/>
          <w:sz w:val="23"/>
          <w:szCs w:val="23"/>
          <w:lang w:eastAsia="es-ES"/>
        </w:rPr>
        <w:t>9</w:t>
      </w:r>
      <w:r w:rsidRPr="00870BB7">
        <w:rPr>
          <w:rFonts w:eastAsia="Times New Roman" w:cs="Tahoma"/>
          <w:bCs/>
          <w:sz w:val="23"/>
          <w:szCs w:val="23"/>
          <w:lang w:eastAsia="es-ES"/>
        </w:rPr>
        <w:t xml:space="preserve"> de </w:t>
      </w:r>
      <w:r w:rsidR="004812C9">
        <w:rPr>
          <w:rFonts w:eastAsia="Times New Roman" w:cs="Tahoma"/>
          <w:bCs/>
          <w:sz w:val="23"/>
          <w:szCs w:val="23"/>
          <w:lang w:eastAsia="es-ES"/>
        </w:rPr>
        <w:t>mayo</w:t>
      </w:r>
      <w:r w:rsidRPr="00870BB7">
        <w:rPr>
          <w:rFonts w:eastAsia="Times New Roman" w:cs="Tahoma"/>
          <w:bCs/>
          <w:sz w:val="23"/>
          <w:szCs w:val="23"/>
          <w:lang w:eastAsia="es-ES"/>
        </w:rPr>
        <w:t xml:space="preserve"> de 201</w:t>
      </w:r>
      <w:r w:rsidR="006D075D" w:rsidRPr="00870BB7">
        <w:rPr>
          <w:rFonts w:eastAsia="Times New Roman" w:cs="Tahoma"/>
          <w:bCs/>
          <w:sz w:val="23"/>
          <w:szCs w:val="23"/>
          <w:lang w:eastAsia="es-ES"/>
        </w:rPr>
        <w:t>9</w:t>
      </w:r>
      <w:r w:rsidR="00DC2963" w:rsidRPr="00870BB7">
        <w:rPr>
          <w:rFonts w:eastAsia="Times New Roman" w:cs="Tahoma"/>
          <w:bCs/>
          <w:sz w:val="23"/>
          <w:szCs w:val="23"/>
          <w:lang w:eastAsia="es-ES"/>
        </w:rPr>
        <w:t xml:space="preserve"> </w:t>
      </w:r>
    </w:p>
    <w:p w14:paraId="491C769E" w14:textId="77777777" w:rsidR="00280FE7" w:rsidRPr="00870BB7" w:rsidRDefault="00280FE7" w:rsidP="00280FE7">
      <w:pPr>
        <w:keepNext/>
        <w:spacing w:line="276" w:lineRule="auto"/>
        <w:ind w:left="-142"/>
        <w:contextualSpacing/>
        <w:jc w:val="right"/>
        <w:rPr>
          <w:rFonts w:eastAsia="Times New Roman" w:cs="Tahoma"/>
          <w:bCs/>
          <w:sz w:val="23"/>
          <w:szCs w:val="23"/>
          <w:lang w:eastAsia="es-ES"/>
        </w:rPr>
      </w:pPr>
    </w:p>
    <w:p w14:paraId="63FF65D6" w14:textId="77777777" w:rsidR="00280FE7" w:rsidRPr="00870BB7" w:rsidRDefault="00280FE7" w:rsidP="00280FE7">
      <w:pPr>
        <w:keepNext/>
        <w:pBdr>
          <w:bottom w:val="single" w:sz="12" w:space="1" w:color="auto"/>
        </w:pBdr>
        <w:spacing w:line="276" w:lineRule="auto"/>
        <w:contextualSpacing/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  <w:r w:rsidRPr="00870BB7">
        <w:rPr>
          <w:rFonts w:eastAsia="Times New Roman" w:cs="Tahoma"/>
          <w:b/>
          <w:bCs/>
          <w:sz w:val="23"/>
          <w:szCs w:val="23"/>
          <w:lang w:eastAsia="es-ES"/>
        </w:rPr>
        <w:t>Asunto:</w:t>
      </w:r>
      <w:r w:rsidRPr="00870BB7">
        <w:rPr>
          <w:rFonts w:eastAsia="Times New Roman" w:cs="Tahoma"/>
          <w:bCs/>
          <w:sz w:val="23"/>
          <w:szCs w:val="23"/>
          <w:lang w:eastAsia="es-ES"/>
        </w:rPr>
        <w:t xml:space="preserve"> Fuentes de información del mercado de petrolíferos en México. </w:t>
      </w:r>
    </w:p>
    <w:p w14:paraId="57F2A5CC" w14:textId="77777777" w:rsidR="00280FE7" w:rsidRPr="00870BB7" w:rsidRDefault="00280FE7" w:rsidP="00280FE7">
      <w:pPr>
        <w:tabs>
          <w:tab w:val="left" w:pos="6255"/>
        </w:tabs>
        <w:jc w:val="both"/>
        <w:rPr>
          <w:rFonts w:eastAsia="Times New Roman" w:cs="Tahoma"/>
          <w:b/>
          <w:bCs/>
          <w:sz w:val="23"/>
          <w:szCs w:val="23"/>
          <w:lang w:val="es-ES" w:eastAsia="es-ES"/>
        </w:rPr>
      </w:pPr>
    </w:p>
    <w:p w14:paraId="12CF61E6" w14:textId="77777777" w:rsidR="00280FE7" w:rsidRPr="00870BB7" w:rsidRDefault="00280FE7" w:rsidP="00280FE7">
      <w:p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  <w:r w:rsidRPr="00870BB7">
        <w:rPr>
          <w:rFonts w:eastAsia="Times New Roman" w:cs="Tahoma"/>
          <w:bCs/>
          <w:sz w:val="23"/>
          <w:szCs w:val="23"/>
          <w:lang w:val="es-ES" w:eastAsia="es-ES"/>
        </w:rPr>
        <w:t xml:space="preserve">La Política Pública de Almacenamiento Mínimo de Petrolíferos (la Política) establece la obligación de reportar periódicamente la información de los volúmenes de producción, importaciones/exportaciones, inventarios y ventas que realizan los agentes económicos que participan en las actividades de refinación del petróleo, almacenamiento, comercialización, distribución y expendio al público de petrolíferos en México. </w:t>
      </w:r>
    </w:p>
    <w:p w14:paraId="38EB5F6A" w14:textId="77777777" w:rsidR="00280FE7" w:rsidRPr="00870BB7" w:rsidRDefault="00280FE7" w:rsidP="00280FE7">
      <w:p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</w:p>
    <w:p w14:paraId="38B83B74" w14:textId="77777777" w:rsidR="00280FE7" w:rsidRPr="00870BB7" w:rsidRDefault="00280FE7" w:rsidP="00280FE7">
      <w:p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  <w:r w:rsidRPr="00870BB7">
        <w:rPr>
          <w:rFonts w:eastAsia="Times New Roman" w:cs="Tahoma"/>
          <w:bCs/>
          <w:sz w:val="23"/>
          <w:szCs w:val="23"/>
          <w:lang w:val="es-ES" w:eastAsia="es-ES"/>
        </w:rPr>
        <w:t>La Secretaría de Energía (SENER) recibe la información semanal sobre producción de petrolíferos de Pemex Transformación Industrial (Pemex TRI) en su calidad de permisionario de refinación. Asimismo, SENER tiene acceso a la información de producción agregada de forma mensual, disponible en el Sistema de Información Energética.</w:t>
      </w:r>
    </w:p>
    <w:p w14:paraId="0ECD91BB" w14:textId="77777777" w:rsidR="00280FE7" w:rsidRPr="00870BB7" w:rsidRDefault="00280FE7" w:rsidP="00280FE7">
      <w:p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</w:p>
    <w:p w14:paraId="7F5C7C6F" w14:textId="77777777" w:rsidR="00280FE7" w:rsidRPr="00870BB7" w:rsidRDefault="00280FE7" w:rsidP="00280FE7">
      <w:p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  <w:r w:rsidRPr="00870BB7">
        <w:rPr>
          <w:rFonts w:eastAsia="Times New Roman" w:cs="Tahoma"/>
          <w:bCs/>
          <w:sz w:val="23"/>
          <w:szCs w:val="23"/>
          <w:lang w:val="es-ES" w:eastAsia="es-ES"/>
        </w:rPr>
        <w:t>Desde el mes de abril de 2018, los participantes en las actividades de almacenamiento, comercialización, distribución y expendio al público de petrolíferos reportan su información estadística a la Comisión Reguladora de Energía (CRE). Estas estadísticas están en proceso de robustecimiento.</w:t>
      </w:r>
    </w:p>
    <w:p w14:paraId="1A1EB5CC" w14:textId="77777777" w:rsidR="00280FE7" w:rsidRPr="00870BB7" w:rsidRDefault="00280FE7" w:rsidP="00280FE7">
      <w:p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</w:p>
    <w:p w14:paraId="2731162C" w14:textId="77777777" w:rsidR="00280FE7" w:rsidRPr="00870BB7" w:rsidRDefault="00280FE7" w:rsidP="00280FE7">
      <w:p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  <w:r w:rsidRPr="00870BB7">
        <w:rPr>
          <w:rFonts w:eastAsia="Times New Roman" w:cs="Tahoma"/>
          <w:bCs/>
          <w:sz w:val="23"/>
          <w:szCs w:val="23"/>
          <w:lang w:val="es-ES" w:eastAsia="es-ES"/>
        </w:rPr>
        <w:t>En el mediano plazo, la transferencia de información se realizará en forma automatizada entre CRE y SENER para ser publicada mediante un sitio web de la SENER con periodicidad semanal en condiciones normales del suministro y con base diaria en situaciones de emergencia.</w:t>
      </w:r>
    </w:p>
    <w:p w14:paraId="212C5F44" w14:textId="77777777" w:rsidR="00280FE7" w:rsidRPr="00870BB7" w:rsidRDefault="00280FE7" w:rsidP="00280FE7">
      <w:p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</w:p>
    <w:p w14:paraId="3E4F7FE8" w14:textId="77777777" w:rsidR="00280FE7" w:rsidRPr="00870BB7" w:rsidRDefault="00280FE7" w:rsidP="00280FE7">
      <w:p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  <w:r w:rsidRPr="00870BB7">
        <w:rPr>
          <w:rFonts w:eastAsia="Times New Roman" w:cs="Tahoma"/>
          <w:bCs/>
          <w:sz w:val="23"/>
          <w:szCs w:val="23"/>
          <w:lang w:val="es-ES" w:eastAsia="es-ES"/>
        </w:rPr>
        <w:t xml:space="preserve">Con el fin de dar cumplimiento a la implementación de la obligación de reporte establecida en la Política, la Dirección General de Petrolíferos ha desarrollado la plataforma de </w:t>
      </w:r>
      <w:r w:rsidRPr="00870BB7">
        <w:rPr>
          <w:rFonts w:eastAsia="Times New Roman" w:cs="Tahoma"/>
          <w:bCs/>
          <w:i/>
          <w:sz w:val="23"/>
          <w:szCs w:val="23"/>
          <w:lang w:val="es-ES" w:eastAsia="es-ES"/>
        </w:rPr>
        <w:t>Estadísticas de Hidrocarburos</w:t>
      </w:r>
      <w:r w:rsidRPr="00870BB7">
        <w:rPr>
          <w:rFonts w:eastAsia="Times New Roman" w:cs="Tahoma"/>
          <w:bCs/>
          <w:sz w:val="23"/>
          <w:szCs w:val="23"/>
          <w:lang w:val="es-ES" w:eastAsia="es-ES"/>
        </w:rPr>
        <w:t xml:space="preserve"> utilizando información del mercado de petrolíferos con el siguiente origen:</w:t>
      </w:r>
    </w:p>
    <w:p w14:paraId="0AEAB6B5" w14:textId="77777777" w:rsidR="00280FE7" w:rsidRPr="00870BB7" w:rsidRDefault="00280FE7" w:rsidP="00280FE7">
      <w:p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</w:p>
    <w:p w14:paraId="697005E8" w14:textId="77777777" w:rsidR="00280FE7" w:rsidRPr="00870BB7" w:rsidRDefault="00280FE7" w:rsidP="00280FE7">
      <w:pPr>
        <w:numPr>
          <w:ilvl w:val="0"/>
          <w:numId w:val="4"/>
        </w:num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  <w:r w:rsidRPr="00870BB7">
        <w:rPr>
          <w:rFonts w:eastAsia="Times New Roman" w:cs="Tahoma"/>
          <w:bCs/>
          <w:sz w:val="23"/>
          <w:szCs w:val="23"/>
          <w:lang w:val="es-ES" w:eastAsia="es-ES"/>
        </w:rPr>
        <w:t>Los volúmenes de producción, con periodicidad semanal, se reciben por parte Pemex TRI en su calidad de permisionario de refinación.</w:t>
      </w:r>
    </w:p>
    <w:p w14:paraId="099F926A" w14:textId="77777777" w:rsidR="00280FE7" w:rsidRPr="00870BB7" w:rsidRDefault="00280FE7" w:rsidP="00280FE7">
      <w:pPr>
        <w:numPr>
          <w:ilvl w:val="0"/>
          <w:numId w:val="4"/>
        </w:num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  <w:r w:rsidRPr="00870BB7">
        <w:rPr>
          <w:rFonts w:eastAsia="Times New Roman" w:cs="Tahoma"/>
          <w:bCs/>
          <w:sz w:val="23"/>
          <w:szCs w:val="23"/>
          <w:lang w:val="es-ES" w:eastAsia="es-ES"/>
        </w:rPr>
        <w:t>Los volúmenes de producción, con periodicidad mensual, corresponden a la información del Sistema de Información Energética (SIE).</w:t>
      </w:r>
    </w:p>
    <w:p w14:paraId="49C0AD05" w14:textId="77777777" w:rsidR="00E51715" w:rsidRPr="00870BB7" w:rsidRDefault="00E51715" w:rsidP="00E51715">
      <w:pPr>
        <w:numPr>
          <w:ilvl w:val="0"/>
          <w:numId w:val="4"/>
        </w:num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  <w:r w:rsidRPr="00870BB7">
        <w:rPr>
          <w:rFonts w:eastAsia="Times New Roman" w:cs="Tahoma"/>
          <w:bCs/>
          <w:sz w:val="23"/>
          <w:szCs w:val="23"/>
          <w:lang w:val="es-ES" w:eastAsia="es-ES"/>
        </w:rPr>
        <w:t>Los datos de paros de plantas en las refinerías se actualizan con base en los oficios de aviso recibidos por parte de Pemex TRI.</w:t>
      </w:r>
    </w:p>
    <w:p w14:paraId="7FBA81B6" w14:textId="77777777" w:rsidR="00B25F65" w:rsidRPr="00870BB7" w:rsidRDefault="00280FE7" w:rsidP="001E6A0F">
      <w:pPr>
        <w:numPr>
          <w:ilvl w:val="0"/>
          <w:numId w:val="4"/>
        </w:num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  <w:r w:rsidRPr="00870BB7">
        <w:rPr>
          <w:rFonts w:eastAsia="Times New Roman" w:cs="Tahoma"/>
          <w:bCs/>
          <w:sz w:val="23"/>
          <w:szCs w:val="23"/>
          <w:lang w:val="es-ES" w:eastAsia="es-ES"/>
        </w:rPr>
        <w:t>La información de importación y exportación tiene como fuente el Sistema de Administración Tributaria (SAT).</w:t>
      </w:r>
    </w:p>
    <w:p w14:paraId="310F2EB6" w14:textId="77777777" w:rsidR="001E6A0F" w:rsidRPr="00870BB7" w:rsidRDefault="001E6A0F" w:rsidP="00B25F65">
      <w:pPr>
        <w:numPr>
          <w:ilvl w:val="0"/>
          <w:numId w:val="4"/>
        </w:num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  <w:r w:rsidRPr="00870BB7">
        <w:rPr>
          <w:rFonts w:eastAsia="Times New Roman" w:cs="Tahoma"/>
          <w:bCs/>
          <w:sz w:val="23"/>
          <w:szCs w:val="23"/>
          <w:lang w:val="es-ES" w:eastAsia="es-ES"/>
        </w:rPr>
        <w:t>Los volúmenes de inventarios</w:t>
      </w:r>
      <w:r w:rsidR="00B425A8" w:rsidRPr="00870BB7">
        <w:rPr>
          <w:rFonts w:eastAsia="Times New Roman" w:cs="Tahoma"/>
          <w:bCs/>
          <w:sz w:val="23"/>
          <w:szCs w:val="23"/>
          <w:lang w:val="es-ES" w:eastAsia="es-ES"/>
        </w:rPr>
        <w:t xml:space="preserve"> </w:t>
      </w:r>
      <w:r w:rsidR="0041004D" w:rsidRPr="00870BB7">
        <w:rPr>
          <w:rFonts w:eastAsia="Times New Roman" w:cs="Tahoma"/>
          <w:bCs/>
          <w:sz w:val="23"/>
          <w:szCs w:val="23"/>
          <w:lang w:val="es-ES" w:eastAsia="es-ES"/>
        </w:rPr>
        <w:t>tienen periodicidad semanal, en el caso de</w:t>
      </w:r>
      <w:r w:rsidR="00B425A8" w:rsidRPr="00870BB7">
        <w:rPr>
          <w:rFonts w:eastAsia="Times New Roman" w:cs="Tahoma"/>
          <w:bCs/>
          <w:sz w:val="23"/>
          <w:szCs w:val="23"/>
          <w:lang w:val="es-ES" w:eastAsia="es-ES"/>
        </w:rPr>
        <w:t xml:space="preserve"> gasolina, diésel y combustóleo</w:t>
      </w:r>
      <w:r w:rsidR="0041004D" w:rsidRPr="00870BB7">
        <w:rPr>
          <w:rFonts w:eastAsia="Times New Roman" w:cs="Tahoma"/>
          <w:bCs/>
          <w:sz w:val="23"/>
          <w:szCs w:val="23"/>
          <w:lang w:val="es-ES" w:eastAsia="es-ES"/>
        </w:rPr>
        <w:t xml:space="preserve"> la información es proporcionada por </w:t>
      </w:r>
      <w:r w:rsidRPr="00870BB7">
        <w:rPr>
          <w:rFonts w:eastAsia="Times New Roman" w:cs="Tahoma"/>
          <w:bCs/>
          <w:sz w:val="23"/>
          <w:szCs w:val="23"/>
          <w:lang w:val="es-ES" w:eastAsia="es-ES"/>
        </w:rPr>
        <w:t>la CRE</w:t>
      </w:r>
      <w:r w:rsidR="0041004D" w:rsidRPr="00870BB7">
        <w:rPr>
          <w:rFonts w:eastAsia="Times New Roman" w:cs="Tahoma"/>
          <w:bCs/>
          <w:sz w:val="23"/>
          <w:szCs w:val="23"/>
          <w:lang w:val="es-ES" w:eastAsia="es-ES"/>
        </w:rPr>
        <w:t>;</w:t>
      </w:r>
      <w:r w:rsidRPr="00870BB7">
        <w:rPr>
          <w:rFonts w:eastAsia="Times New Roman" w:cs="Tahoma"/>
          <w:bCs/>
          <w:sz w:val="23"/>
          <w:szCs w:val="23"/>
          <w:lang w:val="es-ES" w:eastAsia="es-ES"/>
        </w:rPr>
        <w:t xml:space="preserve"> </w:t>
      </w:r>
      <w:r w:rsidR="0041004D" w:rsidRPr="00870BB7">
        <w:rPr>
          <w:rFonts w:eastAsia="Times New Roman" w:cs="Tahoma"/>
          <w:bCs/>
          <w:sz w:val="23"/>
          <w:szCs w:val="23"/>
          <w:lang w:val="es-ES" w:eastAsia="es-ES"/>
        </w:rPr>
        <w:t>c</w:t>
      </w:r>
      <w:r w:rsidR="003408BB" w:rsidRPr="00870BB7">
        <w:rPr>
          <w:rFonts w:eastAsia="Times New Roman" w:cs="Tahoma"/>
          <w:bCs/>
          <w:sz w:val="23"/>
          <w:szCs w:val="23"/>
          <w:lang w:val="es-ES" w:eastAsia="es-ES"/>
        </w:rPr>
        <w:t xml:space="preserve">on respecto a </w:t>
      </w:r>
      <w:r w:rsidR="00B425A8" w:rsidRPr="00870BB7">
        <w:rPr>
          <w:rFonts w:eastAsia="Times New Roman" w:cs="Tahoma"/>
          <w:bCs/>
          <w:sz w:val="23"/>
          <w:szCs w:val="23"/>
          <w:lang w:val="es-ES" w:eastAsia="es-ES"/>
        </w:rPr>
        <w:t xml:space="preserve">la </w:t>
      </w:r>
      <w:r w:rsidR="003408BB" w:rsidRPr="00870BB7">
        <w:rPr>
          <w:rFonts w:eastAsia="Times New Roman" w:cs="Tahoma"/>
          <w:bCs/>
          <w:sz w:val="23"/>
          <w:szCs w:val="23"/>
          <w:lang w:val="es-ES" w:eastAsia="es-ES"/>
        </w:rPr>
        <w:t xml:space="preserve">turbosina los datos </w:t>
      </w:r>
      <w:r w:rsidR="00B425A8" w:rsidRPr="00870BB7">
        <w:rPr>
          <w:rFonts w:eastAsia="Times New Roman" w:cs="Tahoma"/>
          <w:bCs/>
          <w:sz w:val="23"/>
          <w:szCs w:val="23"/>
          <w:lang w:val="es-ES" w:eastAsia="es-ES"/>
        </w:rPr>
        <w:t>son</w:t>
      </w:r>
      <w:r w:rsidR="003408BB" w:rsidRPr="00870BB7">
        <w:rPr>
          <w:rFonts w:eastAsia="Times New Roman" w:cs="Tahoma"/>
          <w:bCs/>
          <w:sz w:val="23"/>
          <w:szCs w:val="23"/>
          <w:lang w:val="es-ES" w:eastAsia="es-ES"/>
        </w:rPr>
        <w:t xml:space="preserve"> </w:t>
      </w:r>
      <w:r w:rsidR="00B425A8" w:rsidRPr="00870BB7">
        <w:rPr>
          <w:rFonts w:eastAsia="Times New Roman" w:cs="Tahoma"/>
          <w:bCs/>
          <w:sz w:val="23"/>
          <w:szCs w:val="23"/>
          <w:lang w:val="es-ES" w:eastAsia="es-ES"/>
        </w:rPr>
        <w:t>proporcionados por</w:t>
      </w:r>
      <w:r w:rsidR="003408BB" w:rsidRPr="00870BB7">
        <w:rPr>
          <w:rFonts w:eastAsia="Times New Roman" w:cs="Tahoma"/>
          <w:bCs/>
          <w:sz w:val="23"/>
          <w:szCs w:val="23"/>
          <w:lang w:val="es-ES" w:eastAsia="es-ES"/>
        </w:rPr>
        <w:t xml:space="preserve"> CRE y ASA. Los </w:t>
      </w:r>
      <w:r w:rsidRPr="00870BB7">
        <w:rPr>
          <w:sz w:val="23"/>
          <w:szCs w:val="23"/>
        </w:rPr>
        <w:t>datos se</w:t>
      </w:r>
      <w:r w:rsidR="00B425A8" w:rsidRPr="00870BB7">
        <w:rPr>
          <w:sz w:val="23"/>
          <w:szCs w:val="23"/>
        </w:rPr>
        <w:t xml:space="preserve"> refieren</w:t>
      </w:r>
      <w:r w:rsidRPr="00870BB7">
        <w:rPr>
          <w:sz w:val="23"/>
          <w:szCs w:val="23"/>
        </w:rPr>
        <w:t xml:space="preserve"> únicamente </w:t>
      </w:r>
      <w:r w:rsidR="00B425A8" w:rsidRPr="00870BB7">
        <w:rPr>
          <w:sz w:val="23"/>
          <w:szCs w:val="23"/>
        </w:rPr>
        <w:t xml:space="preserve">a </w:t>
      </w:r>
      <w:r w:rsidRPr="00870BB7">
        <w:rPr>
          <w:sz w:val="23"/>
          <w:szCs w:val="23"/>
        </w:rPr>
        <w:t>existencias bombeables, en unidad de barriles.</w:t>
      </w:r>
      <w:r w:rsidRPr="00870BB7">
        <w:rPr>
          <w:rFonts w:eastAsia="Times New Roman" w:cs="Tahoma"/>
          <w:bCs/>
          <w:sz w:val="23"/>
          <w:szCs w:val="23"/>
          <w:lang w:val="es-ES" w:eastAsia="es-ES"/>
        </w:rPr>
        <w:t xml:space="preserve"> </w:t>
      </w:r>
    </w:p>
    <w:p w14:paraId="2E7FBEE1" w14:textId="77777777" w:rsidR="00365A33" w:rsidRPr="00870BB7" w:rsidRDefault="00365A33" w:rsidP="00365A33">
      <w:pPr>
        <w:numPr>
          <w:ilvl w:val="0"/>
          <w:numId w:val="4"/>
        </w:numPr>
        <w:jc w:val="both"/>
        <w:rPr>
          <w:sz w:val="23"/>
          <w:szCs w:val="23"/>
          <w:lang w:val="es-ES" w:eastAsia="es-ES"/>
        </w:rPr>
      </w:pPr>
      <w:r w:rsidRPr="00870BB7">
        <w:rPr>
          <w:sz w:val="23"/>
          <w:szCs w:val="23"/>
          <w:lang w:val="es-ES" w:eastAsia="es-ES"/>
        </w:rPr>
        <w:t>Los volúmenes de ventas se componen con información de ventas reportadas por Pemex TRI, Aeropuertos y Servicios Auxiliares (ASA) e importaciones privadas reportadas por el SAT.</w:t>
      </w:r>
      <w:r w:rsidR="009052BB">
        <w:rPr>
          <w:sz w:val="23"/>
          <w:szCs w:val="23"/>
          <w:lang w:val="es-ES" w:eastAsia="es-ES"/>
        </w:rPr>
        <w:t xml:space="preserve"> </w:t>
      </w:r>
    </w:p>
    <w:p w14:paraId="75CA9181" w14:textId="77777777" w:rsidR="00280FE7" w:rsidRPr="00870BB7" w:rsidRDefault="00280FE7" w:rsidP="00280FE7">
      <w:p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</w:p>
    <w:p w14:paraId="773D04E9" w14:textId="77777777" w:rsidR="00280FE7" w:rsidRDefault="00280FE7" w:rsidP="00452905">
      <w:p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  <w:r w:rsidRPr="00870BB7">
        <w:rPr>
          <w:rFonts w:eastAsia="Times New Roman" w:cs="Tahoma"/>
          <w:bCs/>
          <w:sz w:val="23"/>
          <w:szCs w:val="23"/>
          <w:lang w:val="es-ES" w:eastAsia="es-ES"/>
        </w:rPr>
        <w:t>Este análisis será refinado una vez que la información de los permisionarios de la CRE cuente con un mayor grado de precisión.</w:t>
      </w:r>
      <w:bookmarkEnd w:id="0"/>
    </w:p>
    <w:p w14:paraId="7AF25301" w14:textId="77777777" w:rsidR="009052BB" w:rsidRPr="00870BB7" w:rsidRDefault="009052BB" w:rsidP="00452905">
      <w:pPr>
        <w:tabs>
          <w:tab w:val="left" w:pos="6255"/>
        </w:tabs>
        <w:jc w:val="both"/>
        <w:rPr>
          <w:rFonts w:eastAsia="Times New Roman" w:cs="Tahoma"/>
          <w:bCs/>
          <w:sz w:val="23"/>
          <w:szCs w:val="23"/>
          <w:lang w:val="es-ES" w:eastAsia="es-ES"/>
        </w:rPr>
      </w:pPr>
      <w:r>
        <w:rPr>
          <w:rFonts w:eastAsia="Times New Roman" w:cs="Tahoma"/>
          <w:bCs/>
          <w:sz w:val="23"/>
          <w:szCs w:val="23"/>
          <w:lang w:val="es-ES" w:eastAsia="es-ES"/>
        </w:rPr>
        <w:t>Nota: la información de la demanda por región es estimada a partir de agosto de 2019 a la fecha.</w:t>
      </w:r>
    </w:p>
    <w:sectPr w:rsidR="009052BB" w:rsidRPr="00870BB7" w:rsidSect="00F14544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18" w:right="1134" w:bottom="1560" w:left="1134" w:header="709" w:footer="1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9EB80" w14:textId="77777777" w:rsidR="00284BD8" w:rsidRDefault="00284BD8" w:rsidP="009931BB">
      <w:r>
        <w:separator/>
      </w:r>
    </w:p>
  </w:endnote>
  <w:endnote w:type="continuationSeparator" w:id="0">
    <w:p w14:paraId="60B99B48" w14:textId="77777777" w:rsidR="00284BD8" w:rsidRDefault="00284BD8" w:rsidP="0099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763D5" w14:textId="77777777" w:rsidR="00ED4E9F" w:rsidRPr="004A14F8" w:rsidRDefault="00ED4E9F" w:rsidP="00A15648">
    <w:pPr>
      <w:pStyle w:val="Piedepgina"/>
      <w:rPr>
        <w:rFonts w:ascii="Montserrat" w:hAnsi="Montserrat"/>
        <w:sz w:val="15"/>
        <w:szCs w:val="15"/>
      </w:rPr>
    </w:pPr>
  </w:p>
  <w:p w14:paraId="4C7DA5E4" w14:textId="77777777" w:rsidR="00ED4E9F" w:rsidRPr="004A14F8" w:rsidRDefault="00ED4E9F">
    <w:pPr>
      <w:pStyle w:val="Piedepgina"/>
      <w:rPr>
        <w:rFonts w:ascii="Montserrat" w:hAnsi="Montserrat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5AF1E" w14:textId="77777777" w:rsidR="00284BD8" w:rsidRDefault="00284BD8" w:rsidP="009931BB">
      <w:r>
        <w:separator/>
      </w:r>
    </w:p>
  </w:footnote>
  <w:footnote w:type="continuationSeparator" w:id="0">
    <w:p w14:paraId="5499D878" w14:textId="77777777" w:rsidR="00284BD8" w:rsidRDefault="00284BD8" w:rsidP="0099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77CA4" w14:textId="77777777" w:rsidR="00ED4E9F" w:rsidRDefault="00284BD8">
    <w:pPr>
      <w:pStyle w:val="Encabezado"/>
    </w:pPr>
    <w:r>
      <w:rPr>
        <w:noProof/>
      </w:rPr>
      <w:pict w14:anchorId="63027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8973" o:spid="_x0000_s2050" type="#_x0000_t75" style="position:absolute;margin-left:0;margin-top:0;width:629.05pt;height:809.05pt;z-index:-251657216;mso-position-horizontal:center;mso-position-horizontal-relative:margin;mso-position-vertical:center;mso-position-vertical-relative:margin" o:allowincell="f">
          <v:imagedata r:id="rId1" o:title="HM fondoCom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D0EF5" w14:textId="77777777" w:rsidR="00ED4E9F" w:rsidRPr="00280FE7" w:rsidRDefault="00284BD8" w:rsidP="000511F1">
    <w:pPr>
      <w:rPr>
        <w:rFonts w:asciiTheme="majorHAnsi" w:hAnsiTheme="majorHAnsi"/>
        <w:b/>
        <w:sz w:val="18"/>
        <w:szCs w:val="18"/>
      </w:rPr>
    </w:pPr>
    <w:r>
      <w:rPr>
        <w:rFonts w:asciiTheme="majorHAnsi" w:hAnsiTheme="majorHAnsi"/>
        <w:b/>
        <w:noProof/>
        <w:sz w:val="18"/>
        <w:szCs w:val="18"/>
      </w:rPr>
      <w:pict w14:anchorId="6FFB1B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18906" o:spid="_x0000_s2052" type="#_x0000_t75" style="position:absolute;margin-left:-55.1pt;margin-top:-111.3pt;width:612pt;height:811.95pt;z-index:-251656192;mso-position-horizontal-relative:margin;mso-position-vertical-relative:margin" o:allowincell="f">
          <v:imagedata r:id="rId1" o:title="HMcartaEZ sede"/>
          <w10:wrap anchorx="margin" anchory="margin"/>
        </v:shape>
      </w:pict>
    </w:r>
  </w:p>
  <w:p w14:paraId="17539217" w14:textId="77777777" w:rsidR="00ED4E9F" w:rsidRPr="00280FE7" w:rsidRDefault="00ED4E9F" w:rsidP="00277E65">
    <w:pPr>
      <w:jc w:val="right"/>
      <w:rPr>
        <w:rFonts w:asciiTheme="majorHAnsi" w:hAnsiTheme="majorHAnsi"/>
        <w:b/>
        <w:sz w:val="18"/>
        <w:szCs w:val="18"/>
      </w:rPr>
    </w:pPr>
    <w:r w:rsidRPr="00280FE7">
      <w:rPr>
        <w:rFonts w:asciiTheme="majorHAnsi" w:hAnsiTheme="majorHAnsi"/>
        <w:b/>
        <w:sz w:val="18"/>
        <w:szCs w:val="18"/>
      </w:rPr>
      <w:t>SUBSECRETARÍA DE HIDROCARBUROS</w:t>
    </w:r>
  </w:p>
  <w:p w14:paraId="7C1841F6" w14:textId="77777777" w:rsidR="00ED4E9F" w:rsidRPr="00280FE7" w:rsidRDefault="00ED4E9F" w:rsidP="00277E65">
    <w:pPr>
      <w:jc w:val="right"/>
      <w:rPr>
        <w:rFonts w:asciiTheme="majorHAnsi" w:hAnsiTheme="majorHAnsi"/>
        <w:sz w:val="18"/>
        <w:szCs w:val="18"/>
      </w:rPr>
    </w:pPr>
    <w:r w:rsidRPr="00280FE7">
      <w:rPr>
        <w:rFonts w:asciiTheme="majorHAnsi" w:hAnsiTheme="majorHAnsi"/>
        <w:sz w:val="18"/>
        <w:szCs w:val="18"/>
      </w:rPr>
      <w:t xml:space="preserve"> Dirección General de Petrolíferos</w:t>
    </w:r>
  </w:p>
  <w:p w14:paraId="49A770C1" w14:textId="77777777" w:rsidR="00ED4E9F" w:rsidRDefault="00ED4E9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3696C" w14:textId="77777777" w:rsidR="00ED4E9F" w:rsidRDefault="00284BD8">
    <w:pPr>
      <w:pStyle w:val="Encabezado"/>
    </w:pPr>
    <w:r>
      <w:rPr>
        <w:noProof/>
      </w:rPr>
      <w:pict w14:anchorId="0F5D04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8972" o:spid="_x0000_s2049" type="#_x0000_t75" style="position:absolute;margin-left:0;margin-top:0;width:629.05pt;height:809.05pt;z-index:-251658240;mso-position-horizontal:center;mso-position-horizontal-relative:margin;mso-position-vertical:center;mso-position-vertical-relative:margin" o:allowincell="f">
          <v:imagedata r:id="rId1" o:title="HM fondoCom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15D24"/>
    <w:multiLevelType w:val="hybridMultilevel"/>
    <w:tmpl w:val="E1DC2F0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E371A"/>
    <w:multiLevelType w:val="hybridMultilevel"/>
    <w:tmpl w:val="ECFE64D2"/>
    <w:lvl w:ilvl="0" w:tplc="258CC1B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637CF1"/>
    <w:multiLevelType w:val="hybridMultilevel"/>
    <w:tmpl w:val="3FAAB236"/>
    <w:lvl w:ilvl="0" w:tplc="061480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3F01A0"/>
    <w:multiLevelType w:val="hybridMultilevel"/>
    <w:tmpl w:val="0B982A88"/>
    <w:lvl w:ilvl="0" w:tplc="13F4BA12">
      <w:start w:val="1"/>
      <w:numFmt w:val="lowerLetter"/>
      <w:lvlText w:val="%1)"/>
      <w:lvlJc w:val="left"/>
      <w:pPr>
        <w:ind w:left="1353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1BB"/>
    <w:rsid w:val="00005DA2"/>
    <w:rsid w:val="00012CB8"/>
    <w:rsid w:val="00024221"/>
    <w:rsid w:val="00025341"/>
    <w:rsid w:val="00037CD1"/>
    <w:rsid w:val="00046732"/>
    <w:rsid w:val="00047960"/>
    <w:rsid w:val="000511F1"/>
    <w:rsid w:val="000718D6"/>
    <w:rsid w:val="001064F1"/>
    <w:rsid w:val="001313F9"/>
    <w:rsid w:val="00164107"/>
    <w:rsid w:val="001774CE"/>
    <w:rsid w:val="001B3F22"/>
    <w:rsid w:val="001E4E40"/>
    <w:rsid w:val="001E6A0F"/>
    <w:rsid w:val="001F740F"/>
    <w:rsid w:val="00206BA9"/>
    <w:rsid w:val="00273CEF"/>
    <w:rsid w:val="00277E65"/>
    <w:rsid w:val="00280FE7"/>
    <w:rsid w:val="00284BD8"/>
    <w:rsid w:val="002B7417"/>
    <w:rsid w:val="002E65C8"/>
    <w:rsid w:val="003271E9"/>
    <w:rsid w:val="00332115"/>
    <w:rsid w:val="00334624"/>
    <w:rsid w:val="003408BB"/>
    <w:rsid w:val="003545AD"/>
    <w:rsid w:val="00365A33"/>
    <w:rsid w:val="003A57FB"/>
    <w:rsid w:val="003C7BC4"/>
    <w:rsid w:val="003D4801"/>
    <w:rsid w:val="0041004D"/>
    <w:rsid w:val="00411C1D"/>
    <w:rsid w:val="0044781D"/>
    <w:rsid w:val="00452905"/>
    <w:rsid w:val="00456422"/>
    <w:rsid w:val="00467DC9"/>
    <w:rsid w:val="00473432"/>
    <w:rsid w:val="00480EED"/>
    <w:rsid w:val="004812C9"/>
    <w:rsid w:val="004A14F8"/>
    <w:rsid w:val="004E5386"/>
    <w:rsid w:val="004F6BCE"/>
    <w:rsid w:val="00551E58"/>
    <w:rsid w:val="00577FB5"/>
    <w:rsid w:val="00591C52"/>
    <w:rsid w:val="005F44FE"/>
    <w:rsid w:val="005F6C20"/>
    <w:rsid w:val="005F74FD"/>
    <w:rsid w:val="006007BF"/>
    <w:rsid w:val="0063347E"/>
    <w:rsid w:val="00642579"/>
    <w:rsid w:val="0065398B"/>
    <w:rsid w:val="00663977"/>
    <w:rsid w:val="00666FD4"/>
    <w:rsid w:val="006718F2"/>
    <w:rsid w:val="00673D00"/>
    <w:rsid w:val="00674F90"/>
    <w:rsid w:val="00690D06"/>
    <w:rsid w:val="006A2D95"/>
    <w:rsid w:val="006B044E"/>
    <w:rsid w:val="006B073F"/>
    <w:rsid w:val="006C34D5"/>
    <w:rsid w:val="006D075D"/>
    <w:rsid w:val="006E4792"/>
    <w:rsid w:val="006E58A2"/>
    <w:rsid w:val="0074361F"/>
    <w:rsid w:val="00776CA2"/>
    <w:rsid w:val="00794EA1"/>
    <w:rsid w:val="007A77E0"/>
    <w:rsid w:val="007C342A"/>
    <w:rsid w:val="00817304"/>
    <w:rsid w:val="0086595B"/>
    <w:rsid w:val="00870BB7"/>
    <w:rsid w:val="00882B3D"/>
    <w:rsid w:val="00890052"/>
    <w:rsid w:val="008A5E54"/>
    <w:rsid w:val="008B7A97"/>
    <w:rsid w:val="008D4993"/>
    <w:rsid w:val="008D5C3F"/>
    <w:rsid w:val="00903884"/>
    <w:rsid w:val="00904A52"/>
    <w:rsid w:val="009052BB"/>
    <w:rsid w:val="00915AB9"/>
    <w:rsid w:val="009809EE"/>
    <w:rsid w:val="00983E66"/>
    <w:rsid w:val="00990C4E"/>
    <w:rsid w:val="009925E0"/>
    <w:rsid w:val="009931BB"/>
    <w:rsid w:val="009B7F80"/>
    <w:rsid w:val="009D6989"/>
    <w:rsid w:val="009E63A9"/>
    <w:rsid w:val="009F0596"/>
    <w:rsid w:val="00A017FA"/>
    <w:rsid w:val="00A15648"/>
    <w:rsid w:val="00A241AA"/>
    <w:rsid w:val="00A249CA"/>
    <w:rsid w:val="00B01161"/>
    <w:rsid w:val="00B16DEE"/>
    <w:rsid w:val="00B25F65"/>
    <w:rsid w:val="00B2614E"/>
    <w:rsid w:val="00B36ACF"/>
    <w:rsid w:val="00B425A8"/>
    <w:rsid w:val="00BB692D"/>
    <w:rsid w:val="00BD7DAE"/>
    <w:rsid w:val="00BE575E"/>
    <w:rsid w:val="00C041DF"/>
    <w:rsid w:val="00C100A9"/>
    <w:rsid w:val="00C20C5A"/>
    <w:rsid w:val="00C44BB8"/>
    <w:rsid w:val="00C45038"/>
    <w:rsid w:val="00C67B69"/>
    <w:rsid w:val="00C93909"/>
    <w:rsid w:val="00CA57B7"/>
    <w:rsid w:val="00CB3A1C"/>
    <w:rsid w:val="00CE4BD8"/>
    <w:rsid w:val="00CE7DEE"/>
    <w:rsid w:val="00D10411"/>
    <w:rsid w:val="00D104AA"/>
    <w:rsid w:val="00D77EE0"/>
    <w:rsid w:val="00DA6030"/>
    <w:rsid w:val="00DC2963"/>
    <w:rsid w:val="00DD27D7"/>
    <w:rsid w:val="00E36FD4"/>
    <w:rsid w:val="00E42CD3"/>
    <w:rsid w:val="00E51715"/>
    <w:rsid w:val="00E551BD"/>
    <w:rsid w:val="00E9034A"/>
    <w:rsid w:val="00E92500"/>
    <w:rsid w:val="00ED4E9F"/>
    <w:rsid w:val="00F02A95"/>
    <w:rsid w:val="00F056B8"/>
    <w:rsid w:val="00F14544"/>
    <w:rsid w:val="00F151D1"/>
    <w:rsid w:val="00F8179E"/>
    <w:rsid w:val="00F824BC"/>
    <w:rsid w:val="00FC7783"/>
    <w:rsid w:val="00FD7143"/>
    <w:rsid w:val="00FE4B54"/>
    <w:rsid w:val="00FF0B3A"/>
    <w:rsid w:val="00FF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0742D97"/>
  <w15:chartTrackingRefBased/>
  <w15:docId w15:val="{F6BED8BB-59BE-4B9A-9701-59FD47FE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D95"/>
    <w:pPr>
      <w:spacing w:after="0" w:line="240" w:lineRule="auto"/>
    </w:pPr>
    <w:rPr>
      <w:sz w:val="24"/>
      <w:szCs w:val="24"/>
    </w:rPr>
  </w:style>
  <w:style w:type="paragraph" w:styleId="Ttulo3">
    <w:name w:val="heading 3"/>
    <w:basedOn w:val="Normal"/>
    <w:link w:val="Ttulo3Car"/>
    <w:uiPriority w:val="9"/>
    <w:qFormat/>
    <w:rsid w:val="00C20C5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31BB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9931BB"/>
  </w:style>
  <w:style w:type="paragraph" w:styleId="Piedepgina">
    <w:name w:val="footer"/>
    <w:basedOn w:val="Normal"/>
    <w:link w:val="PiedepginaCar"/>
    <w:uiPriority w:val="99"/>
    <w:unhideWhenUsed/>
    <w:rsid w:val="009931BB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931BB"/>
  </w:style>
  <w:style w:type="character" w:customStyle="1" w:styleId="Ttulo3Car">
    <w:name w:val="Título 3 Car"/>
    <w:basedOn w:val="Fuentedeprrafopredeter"/>
    <w:link w:val="Ttulo3"/>
    <w:uiPriority w:val="9"/>
    <w:rsid w:val="00C20C5A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unhideWhenUsed/>
    <w:rsid w:val="00C20C5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Textonotapie">
    <w:name w:val="footnote text"/>
    <w:basedOn w:val="Normal"/>
    <w:link w:val="TextonotapieCar"/>
    <w:uiPriority w:val="99"/>
    <w:rsid w:val="007A77E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A77E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">
    <w:name w:val="List"/>
    <w:basedOn w:val="Normal"/>
    <w:uiPriority w:val="99"/>
    <w:semiHidden/>
    <w:unhideWhenUsed/>
    <w:rsid w:val="006A2D95"/>
    <w:pPr>
      <w:spacing w:after="200" w:line="276" w:lineRule="auto"/>
      <w:ind w:left="283" w:hanging="283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PrrafodelistaCar">
    <w:name w:val="Párrafo de lista Car"/>
    <w:aliases w:val="viñetas Car,Lista vistosa - Énfasis 11 Car,TítuloB Car,List Paragraph (numbered (a)) Car,Lista vistosa - Énfasis 111 Car,Viñeta num Car,Lista vistosa - Énfasis 1111 Car,4 Párrafo de lista Car,Figuras Car,5.9.1 Car,BodyText Car"/>
    <w:link w:val="Prrafodelista"/>
    <w:uiPriority w:val="34"/>
    <w:qFormat/>
    <w:locked/>
    <w:rsid w:val="006A2D95"/>
  </w:style>
  <w:style w:type="paragraph" w:styleId="Prrafodelista">
    <w:name w:val="List Paragraph"/>
    <w:aliases w:val="viñetas,Lista vistosa - Énfasis 11,TítuloB,List Paragraph (numbered (a)),Lista vistosa - Énfasis 111,Viñeta num,Lista vistosa - Énfasis 1111,4 Párrafo de lista,Figuras,5.9.1,Colorful List - Accent 11,BodyText,Body Text Ana,Listas,lp1"/>
    <w:basedOn w:val="Normal"/>
    <w:link w:val="PrrafodelistaCar"/>
    <w:uiPriority w:val="34"/>
    <w:qFormat/>
    <w:rsid w:val="006A2D95"/>
    <w:pPr>
      <w:ind w:left="720"/>
      <w:contextualSpacing/>
    </w:pPr>
    <w:rPr>
      <w:sz w:val="22"/>
      <w:szCs w:val="22"/>
    </w:rPr>
  </w:style>
  <w:style w:type="table" w:styleId="Tablaconcuadrcula">
    <w:name w:val="Table Grid"/>
    <w:basedOn w:val="Tablanormal"/>
    <w:uiPriority w:val="59"/>
    <w:rsid w:val="006A2D9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semiHidden/>
    <w:unhideWhenUsed/>
    <w:rsid w:val="006C34D5"/>
    <w:pPr>
      <w:jc w:val="both"/>
    </w:pPr>
    <w:rPr>
      <w:rFonts w:ascii="Arial" w:eastAsia="Times New Roman" w:hAnsi="Arial" w:cs="Arial"/>
      <w:sz w:val="22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6C34D5"/>
    <w:rPr>
      <w:rFonts w:ascii="Arial" w:eastAsia="Times New Roman" w:hAnsi="Arial" w:cs="Arial"/>
      <w:szCs w:val="24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67B69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1E5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1E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4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0069D4BBA7C145B664BAEF08408D4F" ma:contentTypeVersion="0" ma:contentTypeDescription="Crear nuevo documento." ma:contentTypeScope="" ma:versionID="eaf7dcd2f9b333423c265a89f7ffe4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376A9-CC0F-4070-99C5-789E9C604E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B62E31-C114-4697-A51B-B874EEA42E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B92BEE-6F09-49E6-AD0E-658DC62D5C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E77F603-5E17-479F-B776-11CFC593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445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Gonzalez Esquivel</dc:creator>
  <cp:keywords/>
  <dc:description/>
  <cp:lastModifiedBy>Alberto Mejía Melgar</cp:lastModifiedBy>
  <cp:revision>2</cp:revision>
  <cp:lastPrinted>2019-02-07T17:12:00Z</cp:lastPrinted>
  <dcterms:created xsi:type="dcterms:W3CDTF">2019-05-30T00:25:00Z</dcterms:created>
  <dcterms:modified xsi:type="dcterms:W3CDTF">2019-05-30T00:25:00Z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0x010100800069D4BBA7C145B664BAEF08408D4F</vt:lpwstr>
  </property>
</Properties>
</file>